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>Bonsoir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Je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adresse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 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un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détaillé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 dissertation qui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décrit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la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philosophie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suivre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et a adopter. Le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sujet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n'a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bien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sûr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pas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été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traité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en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cours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mais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cela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donne</w:t>
      </w:r>
      <w:proofErr w:type="spellEnd"/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les indications de base. 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L'introduction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reprend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éléments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contextualisation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du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sujet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Elle pose en suite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problématique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d'entrée</w:t>
      </w:r>
      <w:proofErr w:type="spellEnd"/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..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qu'est</w:t>
      </w:r>
      <w:proofErr w:type="spellEnd"/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je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dois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étudier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comment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l'étudier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Elle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annonce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un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plan 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Ensuite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avez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 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détaillé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en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deux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trois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parties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selon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l'argumentation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devez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tenir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Comme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pouvez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voir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le 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doit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être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logique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il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propose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structure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logique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et narrative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qui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permet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conduire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premiére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second e et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troisième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partie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Le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plan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est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donc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thématisé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n'êtes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pas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obligé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d'aller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plus loin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la description des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faits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idées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importe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 plus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c'est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l'on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se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rendre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compte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avez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bien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compris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sujet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et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les arguments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développés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s'enchaînent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logiquement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Enfin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n'aurez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pas de 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chronologique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suivre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ne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s'agissant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pas d'un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sujet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d'histoire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en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examen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La conclusion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synthétise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idées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principales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propose de la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sorte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ouverture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permet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d'expliquer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qu'il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serait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souhaitable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d'analyser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Bien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sûr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pouvez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adresser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ce</w:t>
      </w:r>
      <w:proofErr w:type="spellEnd"/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modèle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 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détaillé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aux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autres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étudiants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En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souhaitant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bonnes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révisions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bonne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année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2014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Bien a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vous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 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Rémi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Baudouï</w:t>
      </w:r>
      <w:proofErr w:type="spell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lastRenderedPageBreak/>
        <w:t>Corrigé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de la 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composition :</w:t>
      </w:r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« 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L'expérience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combattante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pendant la Première Guerre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mondiale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 ».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Introduction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Présentation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) : 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Depuis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fin du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XIXème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siècle, les tensions se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multiplient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entre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grandes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puissances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européennes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qu'elles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soient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économiques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coloniales.Cette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situation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débouche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sur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création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d'alliances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militaires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 : la Triple Entente et la Triple Alliance. Après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l'assassinat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l'héritier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trône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d'Autriche-Hongrie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juin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1914, 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jeu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alliances se met en place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nouvelle guerre commence en Europe. 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Annonce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Problématique</w:t>
      </w:r>
      <w:proofErr w:type="spellEnd"/>
      <w:proofErr w:type="gramStart"/>
      <w:r>
        <w:rPr>
          <w:rFonts w:ascii="Tahoma" w:hAnsi="Tahoma" w:cs="Tahoma"/>
          <w:sz w:val="26"/>
          <w:szCs w:val="26"/>
          <w:lang w:val="en-US"/>
        </w:rPr>
        <w:t>) 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Quels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caractères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l'expérience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combattante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entre 1914 et 1918 ?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Annonce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du plan) :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un premier temps sera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étudié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cadre des combats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puis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vie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enfin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leurs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rapports avec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détaillé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du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développement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 </w:t>
      </w: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ici</w:t>
      </w:r>
      <w:proofErr w:type="spellEnd"/>
      <w:proofErr w:type="gram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plan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thémathique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mais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pour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d'autres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sujets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il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faut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choisir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les plans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chronologiques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dialectiques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):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I) </w:t>
      </w:r>
      <w:r>
        <w:rPr>
          <w:rFonts w:ascii="Tahoma" w:hAnsi="Tahoma" w:cs="Tahoma"/>
          <w:sz w:val="26"/>
          <w:szCs w:val="26"/>
          <w:lang w:val="en-US"/>
        </w:rPr>
        <w:t xml:space="preserve">Les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combats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A) Des forces qui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s'équilibrent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Les forces de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Triplice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l'Entente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s'équilibrent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puisque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l'armée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allemande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plus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moderne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l'Entente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bénéficie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flotte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anglaise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et du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soutien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colonies.</w:t>
      </w:r>
    </w:p>
    <w:p w:rsidR="00314B2F" w:rsidRDefault="00314B2F" w:rsidP="00314B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Cet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équilibre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explique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qu'après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courte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guerre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mouvement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le front ne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bouge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plus.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C'est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alors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guerre de position en Europe de la fin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l'année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1914 à la fin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l'année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1917. On se bat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sur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front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nord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la France au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nord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l'Italie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sur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front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Baltique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aux Balkans.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D'où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la « guerre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totale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» :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Chaque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bloc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concentre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ses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forces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vers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victoire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l'économie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Etats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mobilisés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L'obstination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Etat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-major,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soutenu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par les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Etats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 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explique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utilise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comme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« chair à canon ». Sans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cesse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nouvelles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troupes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viennent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remplacer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ceux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tombés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 front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( plus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de 3000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morts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chaque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jour).</w:t>
      </w:r>
    </w:p>
    <w:p w:rsidR="00314B2F" w:rsidRDefault="00314B2F" w:rsidP="00314B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La violence des combats dues à « 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guerre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industrielle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» :</w:t>
      </w:r>
      <w:proofErr w:type="gramEnd"/>
    </w:p>
    <w:p w:rsidR="00314B2F" w:rsidRDefault="00314B2F" w:rsidP="00314B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nombreux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progrès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techniques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lieu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rendant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armes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redoutables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obus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gaz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moutarde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mines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placées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tranchées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...</w:t>
      </w:r>
    </w:p>
    <w:p w:rsidR="00314B2F" w:rsidRDefault="00314B2F" w:rsidP="00314B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L'automobile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( «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 taxis de la Marne », camions)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permet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rapidement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transporter les troupes ( par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exemple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sur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« 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voie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sacrée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» à Verdun).</w:t>
      </w:r>
    </w:p>
    <w:p w:rsidR="00314B2F" w:rsidRDefault="00314B2F" w:rsidP="00314B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La navigation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aérienne</w:t>
      </w:r>
      <w:proofErr w:type="spellEnd"/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dirigeable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avions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permet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l'extension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conflit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>Transition 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La "guerre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totale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"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apparait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durant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Preéière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Guerrre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mondiale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Enquoi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transforme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-t-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elle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la vie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?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II) La vie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front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A)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mauvaises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conditions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matérielles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du front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vivre plus de 3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tranchées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Français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vivent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à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,même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boue.Le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manque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d'hygiène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présence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rats) 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poilus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favorisent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épidémies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ravitaillement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est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irrégulier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Les permission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rares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courrier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est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censuré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B)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peur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omniprésente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participe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aux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assauts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l'aide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d'obus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de fusil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combat corps à corps à la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baïllonette.Lors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grandes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offensives ( Somme et Verdun en 1916), les combats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incessants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camarades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morts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crainte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l'assaut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tranchée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minée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risque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d'exploser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empêche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dormir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C) Des vies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transformées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Un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véritable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brassage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social a lieu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tranchées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et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dureté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conditions de vie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crée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solidarité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entre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milieux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sociaux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ne se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fréquentaient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pas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civil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laïc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>/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religieux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simple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/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officier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).</w:t>
      </w:r>
    </w:p>
    <w:p w:rsidR="00314B2F" w:rsidRDefault="00314B2F" w:rsidP="00314B2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réactions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apparaissent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contre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cette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guerre qui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n'en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finit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pas et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paraît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absurde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certains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fraternisation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avec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tranchées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ennemies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mutineries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1917.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>Transition 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la Première Guerre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mondiale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fot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l'expérience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dune guerre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particulièrement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violente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 La "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brutalisation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"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va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-t-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elle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s'étendre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société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entière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?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III) La vie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soutiennent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l'effort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guerre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A)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mobilisés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Indirectement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participent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l'expérience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combattante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Du point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économique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cadre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l'effort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guerre :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munitionnettes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dans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usines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souscripteurs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aux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emprunts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d'Etat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...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B)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intense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propagande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Comme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 front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presse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est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censurée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L'Union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sacrée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 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interdit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jeu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partis.La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presse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encense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l'armée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pousse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haine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l'ennemi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enfants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aussi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soumis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propagande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travers</w:t>
      </w:r>
      <w:proofErr w:type="gramEnd"/>
      <w:r>
        <w:rPr>
          <w:rFonts w:ascii="Tahoma" w:hAnsi="Tahoma" w:cs="Tahoma"/>
          <w:sz w:val="26"/>
          <w:szCs w:val="26"/>
          <w:lang w:val="en-US"/>
        </w:rPr>
        <w:t>, l' 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école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loisirs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C)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expérience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combattante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transmissible ?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Pourtant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fossé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se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creuse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entre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reviennent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 permission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l'arrière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dureté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des conditions de combats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n'est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pas transmissible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civils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ne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comprennent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pas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pourquoi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on ne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perce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pas le front.</w:t>
      </w:r>
    </w:p>
    <w:p w:rsidR="00314B2F" w:rsidRDefault="00314B2F" w:rsidP="00314B2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Après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victoire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1918,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Anciens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combattants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seront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encore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souvent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exclus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Il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très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difficile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aux « 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Gueules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cassées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 »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aux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handicapés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retrouver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un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emploi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peintures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d'Otto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Dix).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lang w:val="en-US"/>
        </w:rPr>
        <w:t>Conclusion :</w:t>
      </w:r>
      <w:proofErr w:type="gramEnd"/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 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Réponse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à la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Problématique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) :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L'expérience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combattante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entre 1914 et 1918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montre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bien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caractère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inédit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d'une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guerre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totale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a fait 14,5 millions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morts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disparus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blessés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314B2F" w:rsidRDefault="00314B2F" w:rsidP="00314B2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On observe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aussi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violence des combats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et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déshumanisation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du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soldat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 </w:t>
      </w:r>
    </w:p>
    <w:p w:rsidR="00582DF7" w:rsidRDefault="00314B2F" w:rsidP="00314B2F">
      <w:r>
        <w:rPr>
          <w:rFonts w:ascii="Tahoma" w:hAnsi="Tahoma" w:cs="Tahoma"/>
          <w:sz w:val="26"/>
          <w:szCs w:val="26"/>
          <w:lang w:val="en-US"/>
        </w:rPr>
        <w:t> 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(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Ouverture</w:t>
      </w:r>
      <w:proofErr w:type="spellEnd"/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possible) :A la suite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conflit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les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sociétés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commencent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s'habituer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à la violence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qui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servira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terreau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aux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totalitarismes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sectPr w:rsidR="00582DF7" w:rsidSect="00582D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2F"/>
    <w:rsid w:val="00314B2F"/>
    <w:rsid w:val="005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E8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5482</Characters>
  <Application>Microsoft Macintosh Word</Application>
  <DocSecurity>0</DocSecurity>
  <Lines>45</Lines>
  <Paragraphs>12</Paragraphs>
  <ScaleCrop>false</ScaleCrop>
  <Company>Warenertrag Recordz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Seiler</dc:creator>
  <cp:keywords/>
  <dc:description/>
  <cp:lastModifiedBy>Nino Seiler</cp:lastModifiedBy>
  <cp:revision>1</cp:revision>
  <dcterms:created xsi:type="dcterms:W3CDTF">2014-01-05T19:14:00Z</dcterms:created>
  <dcterms:modified xsi:type="dcterms:W3CDTF">2014-01-05T19:15:00Z</dcterms:modified>
</cp:coreProperties>
</file>